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2EF1" w14:textId="77777777" w:rsidR="003610ED" w:rsidRDefault="003610ED">
      <w:pPr>
        <w:pStyle w:val="Title"/>
      </w:pPr>
      <w:bookmarkStart w:id="0" w:name="_GoBack"/>
      <w:bookmarkEnd w:id="0"/>
      <w:r>
        <w:t>California Special Districts Association</w:t>
      </w:r>
    </w:p>
    <w:p w14:paraId="14E6BF13" w14:textId="77777777" w:rsidR="005449E0" w:rsidRDefault="005449E0" w:rsidP="005449E0">
      <w:pPr>
        <w:pStyle w:val="Heading1"/>
      </w:pPr>
      <w:r>
        <w:t>POLICY HANDBOOK</w:t>
      </w:r>
    </w:p>
    <w:p w14:paraId="733D087A" w14:textId="77777777" w:rsidR="003610ED" w:rsidRDefault="003610ED">
      <w:pPr>
        <w:pStyle w:val="CSDAPolicy1"/>
      </w:pPr>
    </w:p>
    <w:p w14:paraId="077B2297" w14:textId="77777777" w:rsidR="003610ED" w:rsidRDefault="003610ED">
      <w:pPr>
        <w:pStyle w:val="CSDAPolicy1"/>
        <w:rPr>
          <w:b/>
          <w:bCs/>
        </w:rPr>
      </w:pPr>
    </w:p>
    <w:p w14:paraId="19EAAE7C" w14:textId="77777777" w:rsidR="003610ED" w:rsidRDefault="003610ED">
      <w:pPr>
        <w:pStyle w:val="CSDAPolicy1"/>
        <w:rPr>
          <w:b/>
          <w:bCs/>
        </w:rPr>
      </w:pPr>
      <w:r>
        <w:rPr>
          <w:b/>
          <w:bCs/>
        </w:rPr>
        <w:t>POLICY TITLE:</w:t>
      </w:r>
      <w:r>
        <w:rPr>
          <w:b/>
          <w:bCs/>
        </w:rPr>
        <w:tab/>
      </w:r>
      <w:r w:rsidR="00691B8E">
        <w:rPr>
          <w:b/>
          <w:bCs/>
        </w:rPr>
        <w:t xml:space="preserve">Water </w:t>
      </w:r>
      <w:r>
        <w:rPr>
          <w:b/>
          <w:bCs/>
        </w:rPr>
        <w:t xml:space="preserve">Customer </w:t>
      </w:r>
      <w:r w:rsidR="00691B8E">
        <w:rPr>
          <w:b/>
          <w:bCs/>
        </w:rPr>
        <w:t>Shutoffs</w:t>
      </w:r>
    </w:p>
    <w:p w14:paraId="5B34844A" w14:textId="77777777" w:rsidR="003610ED" w:rsidRDefault="003E597C">
      <w:pPr>
        <w:pStyle w:val="CSDAPolicy1"/>
        <w:rPr>
          <w:b/>
          <w:bCs/>
        </w:rPr>
      </w:pPr>
      <w:r>
        <w:rPr>
          <w:b/>
          <w:bCs/>
        </w:rPr>
        <w:t>POLICY NUMBER:</w:t>
      </w:r>
      <w:r>
        <w:rPr>
          <w:b/>
          <w:bCs/>
        </w:rPr>
        <w:tab/>
        <w:t>31</w:t>
      </w:r>
      <w:r w:rsidR="00691B8E">
        <w:rPr>
          <w:b/>
          <w:bCs/>
        </w:rPr>
        <w:t>25</w:t>
      </w:r>
    </w:p>
    <w:p w14:paraId="08C40266" w14:textId="77777777" w:rsidR="003610ED" w:rsidRDefault="003610ED">
      <w:pPr>
        <w:pStyle w:val="CSDAPolicy1"/>
        <w:rPr>
          <w:b/>
          <w:bCs/>
        </w:rPr>
      </w:pPr>
    </w:p>
    <w:p w14:paraId="629CABAA" w14:textId="77777777" w:rsidR="003610ED" w:rsidRDefault="003610ED">
      <w:pPr>
        <w:pStyle w:val="CSDAPolicy1"/>
      </w:pPr>
    </w:p>
    <w:p w14:paraId="2F7283D5" w14:textId="77777777" w:rsidR="003610ED" w:rsidRDefault="00691B8E">
      <w:pPr>
        <w:pStyle w:val="CSDAPolicy1"/>
      </w:pPr>
      <w:r>
        <w:rPr>
          <w:b/>
          <w:bCs/>
        </w:rPr>
        <w:t>3125</w:t>
      </w:r>
      <w:r w:rsidR="003610ED">
        <w:rPr>
          <w:b/>
          <w:bCs/>
        </w:rPr>
        <w:t>.1</w:t>
      </w:r>
      <w:r w:rsidR="003610ED">
        <w:rPr>
          <w:b/>
          <w:bCs/>
        </w:rPr>
        <w:tab/>
      </w:r>
      <w:r>
        <w:t>All Shutoffs will</w:t>
      </w:r>
      <w:r w:rsidR="00D23AE7">
        <w:t xml:space="preserve"> </w:t>
      </w:r>
      <w:r w:rsidR="00D23AE7" w:rsidRPr="00D23AE7">
        <w:rPr>
          <w:b/>
        </w:rPr>
        <w:t xml:space="preserve">meet the standards </w:t>
      </w:r>
      <w:r>
        <w:rPr>
          <w:b/>
        </w:rPr>
        <w:t xml:space="preserve">set by </w:t>
      </w:r>
      <w:r w:rsidR="00D23AE7" w:rsidRPr="00D23AE7">
        <w:rPr>
          <w:b/>
        </w:rPr>
        <w:t>SB998</w:t>
      </w:r>
      <w:r>
        <w:rPr>
          <w:b/>
        </w:rPr>
        <w:t xml:space="preserve"> as follows</w:t>
      </w:r>
      <w:r w:rsidR="003610ED">
        <w:t>:</w:t>
      </w:r>
    </w:p>
    <w:p w14:paraId="57384B82" w14:textId="77777777" w:rsidR="003610ED" w:rsidRDefault="003610ED">
      <w:pPr>
        <w:pStyle w:val="CSDAPolicy1"/>
        <w:rPr>
          <w:b/>
          <w:bCs/>
        </w:rPr>
      </w:pPr>
    </w:p>
    <w:p w14:paraId="25B59EDB" w14:textId="77777777" w:rsidR="003610ED" w:rsidRPr="00691A24" w:rsidRDefault="003E597C">
      <w:pPr>
        <w:pStyle w:val="CSDAPolicy1"/>
        <w:rPr>
          <w:i/>
          <w:u w:val="single"/>
        </w:rPr>
      </w:pPr>
      <w:r>
        <w:rPr>
          <w:b/>
          <w:bCs/>
        </w:rPr>
        <w:tab/>
      </w:r>
      <w:r w:rsidR="00691B8E">
        <w:rPr>
          <w:b/>
          <w:bCs/>
        </w:rPr>
        <w:t>3125</w:t>
      </w:r>
      <w:r w:rsidR="003610ED">
        <w:rPr>
          <w:b/>
          <w:bCs/>
        </w:rPr>
        <w:t>.1.1</w:t>
      </w:r>
      <w:r w:rsidR="00C95A18">
        <w:tab/>
      </w:r>
      <w:r w:rsidR="00691B8E">
        <w:t>No customer will be shut off for non-payment of less than 60 days.</w:t>
      </w:r>
      <w:r w:rsidR="00B05B8C">
        <w:t xml:space="preserve">  Customers who are delinquent by 60 days and ha</w:t>
      </w:r>
      <w:r w:rsidR="00493B02">
        <w:t>ve</w:t>
      </w:r>
      <w:r w:rsidR="00B05B8C">
        <w:t xml:space="preserve"> a balance of $200 or more shall be given a termination notice.</w:t>
      </w:r>
    </w:p>
    <w:p w14:paraId="439C0F3A" w14:textId="77777777" w:rsidR="003610ED" w:rsidRDefault="003610ED">
      <w:pPr>
        <w:pStyle w:val="CSDAPolicy1"/>
      </w:pPr>
    </w:p>
    <w:p w14:paraId="5500EB7A" w14:textId="77777777" w:rsidR="003610ED" w:rsidRPr="005449E0" w:rsidRDefault="003610ED">
      <w:pPr>
        <w:pStyle w:val="CSDAPolicy1"/>
      </w:pPr>
      <w:r>
        <w:tab/>
      </w:r>
      <w:r w:rsidR="00691B8E">
        <w:rPr>
          <w:b/>
          <w:bCs/>
        </w:rPr>
        <w:t>3125</w:t>
      </w:r>
      <w:r>
        <w:rPr>
          <w:b/>
          <w:bCs/>
        </w:rPr>
        <w:t>.1.2</w:t>
      </w:r>
      <w:r>
        <w:tab/>
      </w:r>
      <w:r w:rsidR="00691B8E">
        <w:t xml:space="preserve">Each customer will be contacted via phone, </w:t>
      </w:r>
      <w:r w:rsidR="009A2EA1">
        <w:t>notice</w:t>
      </w:r>
      <w:r w:rsidR="00691B8E">
        <w:t>, mail or in person regarding the shutoff no less than 7 days prior to the shutoff</w:t>
      </w:r>
      <w:r w:rsidR="00AB21C4" w:rsidRPr="005449E0">
        <w:t>.</w:t>
      </w:r>
      <w:r w:rsidR="00691B8E">
        <w:t xml:space="preserve">  The customer will be advised of the reconcil</w:t>
      </w:r>
      <w:r w:rsidR="009A2EA1">
        <w:t>iation agreement pursuant to Policy 3130.  The termination notice will include all the requirements listed in Health and Safety Code 116908.</w:t>
      </w:r>
    </w:p>
    <w:p w14:paraId="1F568522" w14:textId="77777777" w:rsidR="003610ED" w:rsidRDefault="003610ED">
      <w:pPr>
        <w:pStyle w:val="CSDAPolicy1"/>
      </w:pPr>
    </w:p>
    <w:p w14:paraId="553E2CB6" w14:textId="77777777" w:rsidR="00B05B8C" w:rsidRDefault="003610ED">
      <w:pPr>
        <w:pStyle w:val="CSDAPolicy1"/>
      </w:pPr>
      <w:r>
        <w:tab/>
      </w:r>
      <w:r w:rsidR="00691B8E">
        <w:rPr>
          <w:b/>
          <w:bCs/>
        </w:rPr>
        <w:t>3125</w:t>
      </w:r>
      <w:r>
        <w:rPr>
          <w:b/>
          <w:bCs/>
        </w:rPr>
        <w:t>.1.3</w:t>
      </w:r>
      <w:r>
        <w:tab/>
      </w:r>
      <w:r w:rsidR="00B05B8C">
        <w:t>A customer may appeal the shutoff by filling out the customer complaint form and appealing to the Public Relations Committee</w:t>
      </w:r>
      <w:r w:rsidR="003146DA" w:rsidRPr="005449E0">
        <w:t>.</w:t>
      </w:r>
      <w:r w:rsidR="00B05B8C">
        <w:t xml:space="preserve">  The Committee will review the complaint and give direction to the General Manager for resolution.  </w:t>
      </w:r>
    </w:p>
    <w:p w14:paraId="4D462745" w14:textId="77777777" w:rsidR="00B05B8C" w:rsidRDefault="00B05B8C">
      <w:pPr>
        <w:pStyle w:val="CSDAPolicy1"/>
      </w:pPr>
    </w:p>
    <w:p w14:paraId="175D6426" w14:textId="77777777" w:rsidR="00B05B8C" w:rsidRPr="00B05B8C" w:rsidRDefault="00B05B8C">
      <w:pPr>
        <w:pStyle w:val="CSDAPolicy1"/>
      </w:pPr>
      <w:r>
        <w:tab/>
      </w:r>
      <w:r>
        <w:rPr>
          <w:b/>
          <w:bCs/>
        </w:rPr>
        <w:t xml:space="preserve">3125.1.4     </w:t>
      </w:r>
      <w:r>
        <w:rPr>
          <w:bCs/>
        </w:rPr>
        <w:t xml:space="preserve">If the customer fails to contact the District by the eighth day after the notice, the service will be termination and the customer will be charged a shutoff fee.  </w:t>
      </w:r>
    </w:p>
    <w:p w14:paraId="74D7D6B9" w14:textId="77777777" w:rsidR="003610ED" w:rsidRPr="005449E0" w:rsidRDefault="003610ED">
      <w:pPr>
        <w:pStyle w:val="CSDAPolicy1"/>
      </w:pPr>
    </w:p>
    <w:p w14:paraId="17557E01" w14:textId="77777777" w:rsidR="003146DA" w:rsidRDefault="00691B8E" w:rsidP="00B05B8C">
      <w:pPr>
        <w:pStyle w:val="CSDAPolicy1"/>
        <w:rPr>
          <w:rFonts w:ascii="Arial" w:hAnsi="Arial"/>
        </w:rPr>
      </w:pPr>
      <w:r>
        <w:rPr>
          <w:b/>
          <w:bCs/>
        </w:rPr>
        <w:t>3125</w:t>
      </w:r>
      <w:r w:rsidR="003610ED">
        <w:rPr>
          <w:b/>
          <w:bCs/>
        </w:rPr>
        <w:t>.2</w:t>
      </w:r>
      <w:r w:rsidR="003610ED">
        <w:tab/>
      </w:r>
      <w:r w:rsidR="00B05B8C">
        <w:t xml:space="preserve">To restore service to customers who are terminated, a reconciliation agreement must be signed by the customer per Policy 3130.  A reconnection fee will be charged to return service to the customer’s location.  </w:t>
      </w:r>
    </w:p>
    <w:p w14:paraId="45CFBD83" w14:textId="77777777" w:rsidR="003610ED" w:rsidRDefault="003610ED">
      <w:pPr>
        <w:pStyle w:val="CSDAPolicy1"/>
      </w:pPr>
    </w:p>
    <w:p w14:paraId="4DA61990" w14:textId="77777777" w:rsidR="000B216E" w:rsidRDefault="000B216E">
      <w:pPr>
        <w:pStyle w:val="CSDAPolicy1"/>
        <w:rPr>
          <w:color w:val="333333"/>
        </w:rPr>
      </w:pPr>
      <w:r>
        <w:rPr>
          <w:b/>
          <w:bCs/>
        </w:rPr>
        <w:t xml:space="preserve">3125.3     </w:t>
      </w:r>
      <w:r>
        <w:rPr>
          <w:bCs/>
        </w:rPr>
        <w:t>Delinquent fee</w:t>
      </w:r>
      <w:r w:rsidR="00493B02">
        <w:rPr>
          <w:bCs/>
        </w:rPr>
        <w:t>s</w:t>
      </w:r>
      <w:r>
        <w:rPr>
          <w:bCs/>
        </w:rPr>
        <w:t xml:space="preserve"> may be dismissed once every twelve months for those customers who demonstrate </w:t>
      </w:r>
      <w:r w:rsidR="008239E6">
        <w:rPr>
          <w:bCs/>
        </w:rPr>
        <w:t xml:space="preserve">a </w:t>
      </w:r>
      <w:r w:rsidR="0051325D">
        <w:rPr>
          <w:bCs/>
        </w:rPr>
        <w:t xml:space="preserve">household annual income that is 200% below the federal poverty level </w:t>
      </w:r>
      <w:r w:rsidR="008239E6">
        <w:rPr>
          <w:bCs/>
        </w:rPr>
        <w:t xml:space="preserve">or a </w:t>
      </w:r>
      <w:r w:rsidR="0051325D">
        <w:rPr>
          <w:bCs/>
        </w:rPr>
        <w:t xml:space="preserve">member of the family receives assistance from any of the following;  </w:t>
      </w:r>
      <w:r w:rsidR="0051325D" w:rsidRPr="0051325D">
        <w:rPr>
          <w:color w:val="333333"/>
        </w:rPr>
        <w:t xml:space="preserve">CalWORKs, </w:t>
      </w:r>
      <w:proofErr w:type="spellStart"/>
      <w:r w:rsidR="0051325D" w:rsidRPr="0051325D">
        <w:rPr>
          <w:color w:val="333333"/>
        </w:rPr>
        <w:t>CalFresh</w:t>
      </w:r>
      <w:proofErr w:type="spellEnd"/>
      <w:r w:rsidR="0051325D" w:rsidRPr="0051325D">
        <w:rPr>
          <w:color w:val="333333"/>
        </w:rPr>
        <w:t>, general assistance, Medi-Cal, Supplemental Security Income/State Supplementary Payment Program, or California Special Supplemental Nutrition Program for Women, Infants, and Children</w:t>
      </w:r>
      <w:r w:rsidR="0051325D">
        <w:rPr>
          <w:color w:val="333333"/>
        </w:rPr>
        <w:t>.</w:t>
      </w:r>
    </w:p>
    <w:p w14:paraId="782F9462" w14:textId="77777777" w:rsidR="0048088E" w:rsidRPr="0048088E" w:rsidRDefault="0048088E">
      <w:pPr>
        <w:pStyle w:val="CSDAPolicy1"/>
        <w:rPr>
          <w:color w:val="333333"/>
        </w:rPr>
      </w:pPr>
    </w:p>
    <w:sectPr w:rsidR="0048088E" w:rsidRPr="0048088E">
      <w:footerReference w:type="default" r:id="rId7"/>
      <w:endnotePr>
        <w:numFmt w:val="decimal"/>
      </w:endnotePr>
      <w:pgSz w:w="12240" w:h="15840" w:code="1"/>
      <w:pgMar w:top="1152" w:right="1152" w:bottom="1152" w:left="1728" w:header="115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E056" w14:textId="77777777" w:rsidR="00DF390A" w:rsidRDefault="00DF390A">
      <w:r>
        <w:separator/>
      </w:r>
    </w:p>
  </w:endnote>
  <w:endnote w:type="continuationSeparator" w:id="0">
    <w:p w14:paraId="2882B511" w14:textId="77777777" w:rsidR="00DF390A" w:rsidRDefault="00D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6249" w14:textId="77777777" w:rsidR="003610ED" w:rsidRDefault="00280331">
    <w:pPr>
      <w:tabs>
        <w:tab w:val="center" w:pos="4680"/>
        <w:tab w:val="right" w:pos="9360"/>
      </w:tabs>
      <w:jc w:val="both"/>
      <w:rPr>
        <w:rFonts w:ascii="Arial Narrow" w:hAnsi="Arial Narrow"/>
        <w:sz w:val="24"/>
      </w:rPr>
    </w:pPr>
    <w:r>
      <w:rPr>
        <w:rFonts w:ascii="Arial Narrow" w:hAnsi="Arial Narrow"/>
        <w:sz w:val="16"/>
        <w:szCs w:val="16"/>
      </w:rPr>
      <w:t>5/19/201</w:t>
    </w:r>
    <w:r w:rsidR="00B05B8C">
      <w:rPr>
        <w:rFonts w:ascii="Arial Narrow" w:hAnsi="Arial Narrow"/>
        <w:sz w:val="16"/>
        <w:szCs w:val="16"/>
      </w:rPr>
      <w:t>9</w:t>
    </w:r>
    <w:r w:rsidR="003610ED">
      <w:rPr>
        <w:rFonts w:ascii="Arial Narrow" w:hAnsi="Arial Narrow"/>
        <w:sz w:val="16"/>
        <w:szCs w:val="16"/>
      </w:rPr>
      <w:tab/>
    </w:r>
    <w:r w:rsidR="003610ED">
      <w:rPr>
        <w:rFonts w:ascii="Arial Narrow" w:hAnsi="Arial Narrow"/>
        <w:sz w:val="16"/>
        <w:szCs w:val="16"/>
      </w:rPr>
      <w:tab/>
    </w:r>
    <w:r w:rsidR="00691B8E">
      <w:rPr>
        <w:rFonts w:ascii="Arial Narrow" w:hAnsi="Arial Narrow"/>
        <w:sz w:val="24"/>
        <w:szCs w:val="16"/>
      </w:rPr>
      <w:t>3125</w:t>
    </w:r>
    <w:r w:rsidR="003610ED">
      <w:rPr>
        <w:rFonts w:ascii="Arial Narrow" w:hAnsi="Arial Narrow"/>
        <w:sz w:val="24"/>
        <w:szCs w:val="16"/>
      </w:rPr>
      <w:t xml:space="preserve"> – </w:t>
    </w:r>
    <w:r w:rsidR="003610ED">
      <w:rPr>
        <w:rStyle w:val="PageNumber"/>
        <w:rFonts w:ascii="Arial Narrow" w:hAnsi="Arial Narrow"/>
        <w:caps/>
        <w:sz w:val="24"/>
      </w:rPr>
      <w:fldChar w:fldCharType="begin"/>
    </w:r>
    <w:r w:rsidR="003610ED">
      <w:rPr>
        <w:rStyle w:val="PageNumber"/>
        <w:rFonts w:ascii="Arial Narrow" w:hAnsi="Arial Narrow"/>
        <w:caps/>
        <w:sz w:val="24"/>
      </w:rPr>
      <w:instrText xml:space="preserve"> PAGE </w:instrText>
    </w:r>
    <w:r w:rsidR="003610ED">
      <w:rPr>
        <w:rStyle w:val="PageNumber"/>
        <w:rFonts w:ascii="Arial Narrow" w:hAnsi="Arial Narrow"/>
        <w:caps/>
        <w:sz w:val="24"/>
      </w:rPr>
      <w:fldChar w:fldCharType="separate"/>
    </w:r>
    <w:r w:rsidR="0048088E">
      <w:rPr>
        <w:rStyle w:val="PageNumber"/>
        <w:rFonts w:ascii="Arial Narrow" w:hAnsi="Arial Narrow"/>
        <w:caps/>
        <w:noProof/>
        <w:sz w:val="24"/>
      </w:rPr>
      <w:t>1</w:t>
    </w:r>
    <w:r w:rsidR="003610ED">
      <w:rPr>
        <w:rStyle w:val="PageNumber"/>
        <w:rFonts w:ascii="Arial Narrow" w:hAnsi="Arial Narrow"/>
        <w:cap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6318" w14:textId="77777777" w:rsidR="00DF390A" w:rsidRDefault="00DF390A">
      <w:r>
        <w:separator/>
      </w:r>
    </w:p>
  </w:footnote>
  <w:footnote w:type="continuationSeparator" w:id="0">
    <w:p w14:paraId="31465200" w14:textId="77777777" w:rsidR="00DF390A" w:rsidRDefault="00DF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A4A7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5259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A2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A1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92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4F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05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lvlText w:val="*"/>
      <w:lvlJc w:val="left"/>
    </w:lvl>
  </w:abstractNum>
  <w:abstractNum w:abstractNumId="11" w15:restartNumberingAfterBreak="0">
    <w:nsid w:val="120045C6"/>
    <w:multiLevelType w:val="singleLevel"/>
    <w:tmpl w:val="09B0E8F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2" w15:restartNumberingAfterBreak="0">
    <w:nsid w:val="19754DDC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2A3030A1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2D9E4A9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0152EAB"/>
    <w:multiLevelType w:val="singleLevel"/>
    <w:tmpl w:val="2034CD5C"/>
    <w:lvl w:ilvl="0">
      <w:numFmt w:val="decimal"/>
      <w:lvlText w:val="*"/>
      <w:lvlJc w:val="left"/>
    </w:lvl>
  </w:abstractNum>
  <w:abstractNum w:abstractNumId="16" w15:restartNumberingAfterBreak="0">
    <w:nsid w:val="46B310A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7583C2E"/>
    <w:multiLevelType w:val="singleLevel"/>
    <w:tmpl w:val="C2A61456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8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0" w15:restartNumberingAfterBreak="0">
    <w:nsid w:val="5CBE216E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E76003D"/>
    <w:multiLevelType w:val="singleLevel"/>
    <w:tmpl w:val="BDF4B83C"/>
    <w:lvl w:ilvl="0">
      <w:numFmt w:val="decimal"/>
      <w:lvlText w:val="*"/>
      <w:lvlJc w:val="left"/>
    </w:lvl>
  </w:abstractNum>
  <w:abstractNum w:abstractNumId="22" w15:restartNumberingAfterBreak="0">
    <w:nsid w:val="7BF25134"/>
    <w:multiLevelType w:val="singleLevel"/>
    <w:tmpl w:val="6DCCA5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2">
    <w:abstractNumId w:val="18"/>
  </w:num>
  <w:num w:numId="13">
    <w:abstractNumId w:val="19"/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15">
    <w:abstractNumId w:val="17"/>
  </w:num>
  <w:num w:numId="16">
    <w:abstractNumId w:val="20"/>
  </w:num>
  <w:num w:numId="17">
    <w:abstractNumId w:val="11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b w:val="0"/>
          <w:i w:val="0"/>
          <w:sz w:val="18"/>
        </w:rPr>
      </w:lvl>
    </w:lvlOverride>
  </w:num>
  <w:num w:numId="19">
    <w:abstractNumId w:val="15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0">
    <w:abstractNumId w:val="2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1080" w:firstLine="0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14"/>
  </w:num>
  <w:num w:numId="23">
    <w:abstractNumId w:val="13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18"/>
    <w:rsid w:val="000503C9"/>
    <w:rsid w:val="000B216E"/>
    <w:rsid w:val="0016672E"/>
    <w:rsid w:val="0026034B"/>
    <w:rsid w:val="00280331"/>
    <w:rsid w:val="002B3B80"/>
    <w:rsid w:val="003146DA"/>
    <w:rsid w:val="003610ED"/>
    <w:rsid w:val="00366FBC"/>
    <w:rsid w:val="003E597C"/>
    <w:rsid w:val="0048088E"/>
    <w:rsid w:val="00493B02"/>
    <w:rsid w:val="0051325D"/>
    <w:rsid w:val="005449E0"/>
    <w:rsid w:val="00691A24"/>
    <w:rsid w:val="00691B8E"/>
    <w:rsid w:val="0072519F"/>
    <w:rsid w:val="008239E6"/>
    <w:rsid w:val="00956A31"/>
    <w:rsid w:val="00963A58"/>
    <w:rsid w:val="009A2EA1"/>
    <w:rsid w:val="00A6576C"/>
    <w:rsid w:val="00AB21C4"/>
    <w:rsid w:val="00B05B8C"/>
    <w:rsid w:val="00C95A18"/>
    <w:rsid w:val="00D23AE7"/>
    <w:rsid w:val="00D36DFC"/>
    <w:rsid w:val="00DD3328"/>
    <w:rsid w:val="00DF390A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877281"/>
  <w15:chartTrackingRefBased/>
  <w15:docId w15:val="{EE7F7F51-3050-4A25-89B2-9B61C6E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080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link w:val="Heading1Char"/>
    <w:qFormat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Header">
    <w:name w:val="header"/>
    <w:basedOn w:val="HeaderBase"/>
  </w:style>
  <w:style w:type="paragraph" w:styleId="Footer">
    <w:name w:val="footer"/>
    <w:basedOn w:val="HeaderBase"/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Policy1">
    <w:name w:val="Policy 1"/>
    <w:basedOn w:val="Normal"/>
    <w:pPr>
      <w:tabs>
        <w:tab w:val="left" w:pos="-1440"/>
        <w:tab w:val="left" w:pos="-720"/>
        <w:tab w:val="left" w:pos="0"/>
        <w:tab w:val="left" w:pos="360"/>
        <w:tab w:val="left" w:pos="1440"/>
        <w:tab w:val="left" w:pos="1890"/>
        <w:tab w:val="left" w:pos="2880"/>
        <w:tab w:val="right" w:pos="9216"/>
      </w:tabs>
      <w:ind w:firstLine="360"/>
    </w:pPr>
    <w:rPr>
      <w:rFonts w:ascii="Arial Narrow" w:hAnsi="Arial Narrow"/>
      <w:sz w:val="24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pPr>
      <w:spacing w:after="240" w:line="240" w:lineRule="atLeast"/>
      <w:jc w:val="both"/>
    </w:pPr>
  </w:style>
  <w:style w:type="paragraph" w:styleId="BodyTextIndent">
    <w:name w:val="Body Text Indent"/>
    <w:basedOn w:val="BodyText"/>
    <w:pPr>
      <w:ind w:left="144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styleId="Caption">
    <w:name w:val="caption"/>
    <w:basedOn w:val="Picture"/>
    <w:next w:val="BodyText"/>
    <w:qFormat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FootnoteBase">
    <w:name w:val="Footnote Base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styleId="FootnoteText">
    <w:name w:val="footnote text"/>
    <w:basedOn w:val="FootnoteBase"/>
    <w:semiHidden/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  <w:pPr>
      <w:numPr>
        <w:numId w:val="12"/>
      </w:numPr>
      <w:tabs>
        <w:tab w:val="clear" w:pos="1440"/>
      </w:tabs>
    </w:p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numPr>
        <w:numId w:val="13"/>
      </w:numPr>
    </w:p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Pr>
      <w:spacing w:val="-4"/>
    </w:rPr>
  </w:style>
  <w:style w:type="paragraph" w:styleId="TOC2">
    <w:name w:val="toc 2"/>
    <w:basedOn w:val="TOCBase"/>
    <w:autoRedefine/>
    <w:semiHidden/>
    <w:pPr>
      <w:ind w:left="360"/>
    </w:pPr>
  </w:style>
  <w:style w:type="paragraph" w:styleId="TOC3">
    <w:name w:val="toc 3"/>
    <w:basedOn w:val="TOCBase"/>
    <w:autoRedefine/>
    <w:semiHidden/>
    <w:pPr>
      <w:ind w:left="360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CSDAPolicy1">
    <w:name w:val="CSDA Policy 1"/>
    <w:basedOn w:val="Normal"/>
    <w:pPr>
      <w:tabs>
        <w:tab w:val="left" w:pos="-1440"/>
        <w:tab w:val="left" w:pos="-720"/>
        <w:tab w:val="left" w:pos="0"/>
        <w:tab w:val="left" w:pos="81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0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AB2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21C4"/>
    <w:rPr>
      <w:rFonts w:ascii="Segoe UI" w:hAnsi="Segoe UI" w:cs="Segoe UI"/>
      <w:spacing w:val="-5"/>
      <w:sz w:val="18"/>
      <w:szCs w:val="18"/>
    </w:rPr>
  </w:style>
  <w:style w:type="paragraph" w:styleId="NoSpacing">
    <w:name w:val="No Spacing"/>
    <w:uiPriority w:val="1"/>
    <w:qFormat/>
    <w:rsid w:val="003146DA"/>
    <w:rPr>
      <w:rFonts w:eastAsia="Calibri"/>
      <w:sz w:val="24"/>
      <w:szCs w:val="24"/>
    </w:rPr>
  </w:style>
  <w:style w:type="character" w:customStyle="1" w:styleId="Heading1Char">
    <w:name w:val="Heading 1 Char"/>
    <w:link w:val="Heading1"/>
    <w:rsid w:val="005449E0"/>
    <w:rPr>
      <w:rFonts w:ascii="Arial Black" w:hAnsi="Arial Black"/>
      <w:color w:val="FFFFFF"/>
      <w:spacing w:val="-10"/>
      <w:kern w:val="20"/>
      <w:sz w:val="24"/>
      <w:shd w:val="solid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SPECIAL DISTRICTS ASSOCIATION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SPECIAL DISTRICTS ASSOCIATION</dc:title>
  <dc:subject/>
  <dc:creator>Mike Glaze</dc:creator>
  <cp:keywords/>
  <dc:description/>
  <cp:lastModifiedBy>Cal Pines CSD</cp:lastModifiedBy>
  <cp:revision>2</cp:revision>
  <cp:lastPrinted>2019-07-01T15:53:00Z</cp:lastPrinted>
  <dcterms:created xsi:type="dcterms:W3CDTF">2019-07-01T15:54:00Z</dcterms:created>
  <dcterms:modified xsi:type="dcterms:W3CDTF">2019-07-01T15:54:00Z</dcterms:modified>
</cp:coreProperties>
</file>